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实施人居环境整治和建筑垃圾再利用项目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武川县城市管理综合执法局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内蒙古国盛诚安建设管理发展有限责任公司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150125-NMGGSCA-GK-20250002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内蒙古国盛诚安建设管理发展有限责任公司</w:t>
      </w:r>
      <w:r>
        <w:rPr>
          <w:rFonts w:ascii="仿宋_GB2312" w:hAnsi="仿宋_GB2312" w:cs="仿宋_GB2312" w:eastAsia="仿宋_GB2312"/>
        </w:rPr>
        <w:t xml:space="preserve"> 受 </w:t>
      </w:r>
      <w:r>
        <w:rPr>
          <w:rFonts w:ascii="仿宋_GB2312" w:hAnsi="仿宋_GB2312" w:cs="仿宋_GB2312" w:eastAsia="仿宋_GB2312"/>
        </w:rPr>
        <w:t>武川县城市管理综合执法局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实施人居环境整治和建筑垃圾再利用项目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实施人居环境整治和建筑垃圾再利用项目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150125-NMGGSCA-GK-20250002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武政采计划[2025]00022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11,284,173.00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实施人居环境整治和建筑垃圾再利用项目（碧水龙城）</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11,284,173.00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3,715,827.00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实施人居环境整治和建筑垃圾再利用项目（万鑫园）</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3,715,827.00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1、无：无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1、无：无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内蒙古国盛诚安建设管理发展有限责任公司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呼和浩特市新城区海东路与腾飞北路交汇处兴泰大厦11楼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周建鸿</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0471-5615150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武川县城市管理综合执法局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武川县青山路</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011700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班少龙</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18548189993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2</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代理服务费收费标准：参照内工建协【2022】34号文件计取。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p>
            <w:pPr>
              <w:pStyle w:val="null5"/>
              <w:jc w:val="left"/>
            </w:pPr>
            <w:r>
              <w:rPr>
                <w:rFonts w:ascii="仿宋_GB2312" w:hAnsi="仿宋_GB2312" w:cs="仿宋_GB2312" w:eastAsia="仿宋_GB2312"/>
              </w:rPr>
              <w:t>采购包2：不属于专门面向中小企业采购。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武川县城市管理综合执法局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内蒙古国盛诚安建设管理发展有限责任公司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审查供应商的有效的营业执照或事业单位法人证书或执业许可证或自然人身份证明。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审查供应商2022或2023年度经会计师事务所出具的财务审计报告或其基本开户银行出具的近一年内的银行资信证明或具备良好的商业信誉和健全的财务会计制度声明函。</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审查供应商自递交投标文件截止之日前一年内（至少一个月）依法缴纳税收和社会保障资金的凭证或具有依法缴纳税收和社会保障资金的良好记录的承诺函。</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审查供应商出具的“具有履行合同所必需的设备和专业技术能力”的声明函。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审查供应商出具“参加政府采购活动前三年内，在经营活动中没有重大违法记录”的书面声明函。</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依据《财政部关于在政府采购活动中查询及使用信用记录有关问题的通知》（财库（2016）125号）文件规定，供应商被列入“信用中国”网站（www.creditchina.gov.cn）、中国政府采购网（www.ccgp.gov.cn）等渠道列入失信被执行人、重大税收违法失信主体、政府采购严重违法失信行为记录名单，拒绝其参与政府采购活动。</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审查供应商的有效的营业执照或事业单位法人证书或执业许可证或自然人身份证明。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审查供应商2022或2023年度经会计师事务所出具的财务审计报告或其基本开户银行出具的近一年内的银行资信证明或具备良好的商业信誉和健全的财务会计制度声明函。</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审查供应商自递交投标文件截止之日前一年内（至少一个月）依法缴纳税收和社会保障资金的凭证或具有依法缴纳税收和社会保障资金的良好记录的承诺函。</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审查供应商出具的“具有履行合同所必需的设备和专业技术能力”的声明函。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审查供应商出具“参加政府采购活动前三年内，在经营活动中没有重大违法记录”的书面声明函。</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依据《财政部关于在政府采购活动中查询及使用信用记录有关问题的通知》（财库（2016）125号）文件规定，供应商被列入“信用中国”网站（www.creditchina.gov.cn）、中国政府采购网（www.ccgp.gov.cn）等渠道列入失信被执行人、重大税收违法失信主体、政府采购严重违法失信行为记录名单，拒绝其参与政府采购活动。</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无</w:t>
            </w:r>
          </w:p>
        </w:tc>
        <w:tc>
          <w:tcPr>
            <w:tcW w:type="dxa" w:w="4984"/>
          </w:tcPr>
          <w:p>
            <w:pPr>
              <w:pStyle w:val="null5"/>
              <w:jc w:val="left"/>
            </w:pPr>
            <w:r>
              <w:rPr>
                <w:rFonts w:ascii="仿宋_GB2312" w:hAnsi="仿宋_GB2312" w:cs="仿宋_GB2312" w:eastAsia="仿宋_GB2312"/>
              </w:rPr>
              <w:t>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无</w:t>
            </w:r>
          </w:p>
        </w:tc>
        <w:tc>
          <w:tcPr>
            <w:tcW w:type="dxa" w:w="4984"/>
          </w:tcPr>
          <w:p>
            <w:pPr>
              <w:pStyle w:val="null5"/>
              <w:jc w:val="left"/>
            </w:pPr>
            <w:r>
              <w:rPr>
                <w:rFonts w:ascii="仿宋_GB2312" w:hAnsi="仿宋_GB2312" w:cs="仿宋_GB2312" w:eastAsia="仿宋_GB2312"/>
              </w:rPr>
              <w:t>无</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24"/>
        </w:rPr>
        <w:t>碧水龙城垃圾掩埋场位于武川县可镇东南部，占地面积</w:t>
      </w:r>
      <w:r>
        <w:rPr>
          <w:rFonts w:ascii="仿宋_GB2312" w:hAnsi="仿宋_GB2312" w:cs="仿宋_GB2312" w:eastAsia="仿宋_GB2312"/>
          <w:sz w:val="24"/>
        </w:rPr>
        <w:t>84748.2平米。</w:t>
      </w:r>
      <w:r>
        <w:rPr>
          <w:rFonts w:ascii="仿宋_GB2312" w:hAnsi="仿宋_GB2312" w:cs="仿宋_GB2312" w:eastAsia="仿宋_GB2312"/>
          <w:sz w:val="24"/>
        </w:rPr>
        <w:t>万鑫园垃圾掩埋场位于武川县可镇西部，占地面积</w:t>
      </w:r>
      <w:r>
        <w:rPr>
          <w:rFonts w:ascii="仿宋_GB2312" w:hAnsi="仿宋_GB2312" w:cs="仿宋_GB2312" w:eastAsia="仿宋_GB2312"/>
          <w:sz w:val="24"/>
        </w:rPr>
        <w:t>31297.57平米。以前垃圾处理方式比较落后，全部填埋，不仅占用大量土地资源，还可能对环境造成二次污染。在此背景下，高效的垃圾筛选项目应运而生，旨在通过对垃圾进行分类筛选，实现资源回收利用最大化，减少垃圾最终处理量，推动城市可持续发展。通过精准筛选，将可回收垃圾从混合垃圾中分离出来，确保废纸、塑料、金属、玻璃等可回收物得到有效回收，目标是将垃圾回收利用率提升。</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自合同签订之日起90日历天（具体服务期以合同为准）</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呼和浩特市武川县</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1、第一年度依据审计情况支付，达到付款条件起30日，支付合同总金额的40.00%</w:t>
            </w:r>
          </w:p>
          <w:p>
            <w:pPr>
              <w:pStyle w:val="null5"/>
              <w:jc w:val="left"/>
            </w:pPr>
            <w:r>
              <w:rPr>
                <w:rFonts w:ascii="仿宋_GB2312" w:hAnsi="仿宋_GB2312" w:cs="仿宋_GB2312" w:eastAsia="仿宋_GB2312"/>
              </w:rPr>
              <w:t>2、第二年度依据审计情况支付，达到付款条件起30日，支付合同总金额的30.00%</w:t>
            </w:r>
          </w:p>
          <w:p>
            <w:pPr>
              <w:pStyle w:val="null5"/>
              <w:jc w:val="left"/>
            </w:pPr>
            <w:r>
              <w:rPr>
                <w:rFonts w:ascii="仿宋_GB2312" w:hAnsi="仿宋_GB2312" w:cs="仿宋_GB2312" w:eastAsia="仿宋_GB2312"/>
              </w:rPr>
              <w:t>3、第三年度依据审计情况支付，达到付款条件起30日，支付合同总金额的30.00%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自合同签订之日起90日历天（具体服务期以合同为准</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呼和浩特市武川县</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1、第一年度依据审计情况支付，达到付款条件起30日，支付合同总金额的40.00%</w:t>
            </w:r>
          </w:p>
          <w:p>
            <w:pPr>
              <w:pStyle w:val="null5"/>
              <w:jc w:val="left"/>
            </w:pPr>
            <w:r>
              <w:rPr>
                <w:rFonts w:ascii="仿宋_GB2312" w:hAnsi="仿宋_GB2312" w:cs="仿宋_GB2312" w:eastAsia="仿宋_GB2312"/>
              </w:rPr>
              <w:t>2、第二年度依据审计情况支付，达到付款条件起30日，支付合同总金额的30.00%</w:t>
            </w:r>
          </w:p>
          <w:p>
            <w:pPr>
              <w:pStyle w:val="null5"/>
              <w:jc w:val="left"/>
            </w:pPr>
            <w:r>
              <w:rPr>
                <w:rFonts w:ascii="仿宋_GB2312" w:hAnsi="仿宋_GB2312" w:cs="仿宋_GB2312" w:eastAsia="仿宋_GB2312"/>
              </w:rPr>
              <w:t>3、第三年度依据审计情况支付，达到付款条件起30日，支付合同总金额的30.00%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标的名称：实施人居环境整治和建筑垃圾再利用项目（碧水龙城）</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rPr>
              <w:t>实施人居环境整治和建筑垃圾再利用项目（</w:t>
            </w:r>
            <w:r>
              <w:rPr>
                <w:rFonts w:ascii="仿宋_GB2312" w:hAnsi="仿宋_GB2312" w:cs="仿宋_GB2312" w:eastAsia="仿宋_GB2312"/>
                <w:sz w:val="24"/>
              </w:rPr>
              <w:t>碧水龙城</w:t>
            </w:r>
            <w:r>
              <w:rPr>
                <w:rFonts w:ascii="仿宋_GB2312" w:hAnsi="仿宋_GB2312" w:cs="仿宋_GB2312" w:eastAsia="仿宋_GB2312"/>
                <w:sz w:val="22"/>
              </w:rPr>
              <w:t>）；详见服务需求。</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标的名称：实施人居环境整治和建筑垃圾再利用项目（万鑫园）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2"/>
              </w:rPr>
              <w:t>实施人居环境整治和建筑垃圾再利用项目（</w:t>
            </w:r>
            <w:r>
              <w:rPr>
                <w:rFonts w:ascii="仿宋_GB2312" w:hAnsi="仿宋_GB2312" w:cs="仿宋_GB2312" w:eastAsia="仿宋_GB2312"/>
                <w:sz w:val="24"/>
              </w:rPr>
              <w:t>万鑫园</w:t>
            </w:r>
            <w:r>
              <w:rPr>
                <w:rFonts w:ascii="仿宋_GB2312" w:hAnsi="仿宋_GB2312" w:cs="仿宋_GB2312" w:eastAsia="仿宋_GB2312"/>
                <w:sz w:val="22"/>
              </w:rPr>
              <w:t>）；详见服务需求。</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服务方案及技术措施</w:t>
            </w:r>
          </w:p>
        </w:tc>
        <w:tc>
          <w:tcPr>
            <w:tcW w:type="dxa" w:w="3115"/>
          </w:tcPr>
          <w:p>
            <w:pPr>
              <w:pStyle w:val="null5"/>
              <w:jc w:val="left"/>
            </w:pPr>
            <w:r>
              <w:rPr>
                <w:rFonts w:ascii="仿宋_GB2312" w:hAnsi="仿宋_GB2312" w:cs="仿宋_GB2312" w:eastAsia="仿宋_GB2312"/>
              </w:rPr>
              <w:t>根据项目情况，视供应商提供的服务方案及技术措施，综合评定。包括但不限于①准备方案②土方装车方案③土方运输方案④主要技术措施等，以上内容完整、不存在不合理(瑕疵)或缺项的，得12分；每缺一项扣3分，存在不合理或瑕疵的，一项扣0.5-2.5分，扣完为止。(本项所指“不合理或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作业人员的配备及管理方案</w:t>
            </w:r>
          </w:p>
        </w:tc>
        <w:tc>
          <w:tcPr>
            <w:tcW w:type="dxa" w:w="3115"/>
          </w:tcPr>
          <w:p>
            <w:pPr>
              <w:pStyle w:val="null5"/>
              <w:jc w:val="left"/>
            </w:pPr>
            <w:r>
              <w:rPr>
                <w:rFonts w:ascii="仿宋_GB2312" w:hAnsi="仿宋_GB2312" w:cs="仿宋_GB2312" w:eastAsia="仿宋_GB2312"/>
              </w:rPr>
              <w:t>根据项目情况，视供应商提供的作业人员配备及管理方案，综合评定。包括但不限于①人员配备②作业人数保障方案③作业期间的人员管理方案④人员的考核方案等，以上内容完整、不存在不合理(瑕疵)或缺项的，得8分；每缺一项扣2分，存在不合理或瑕疵的，一项扣0.5-1.5分，扣完为止。(本项所指“不合理或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主要作业机械配备及管理方案</w:t>
            </w:r>
          </w:p>
        </w:tc>
        <w:tc>
          <w:tcPr>
            <w:tcW w:type="dxa" w:w="3115"/>
          </w:tcPr>
          <w:p>
            <w:pPr>
              <w:pStyle w:val="null5"/>
              <w:jc w:val="left"/>
            </w:pPr>
            <w:r>
              <w:rPr>
                <w:rFonts w:ascii="仿宋_GB2312" w:hAnsi="仿宋_GB2312" w:cs="仿宋_GB2312" w:eastAsia="仿宋_GB2312"/>
              </w:rPr>
              <w:t>1、据项目情况，视供应商提供的土方运输车数量，综合评定。供应商承诺配备的土方运输车数量≥10台的得5分；承诺配备土方运输车数量&lt;10台，28台的得3分；承诺配备土方运输车&lt;8台，25台的得1分；&lt;5台的不得分。(提供承诺书，未提供不计算得分)。2、据项目情况，视供应商提供的作业机械配备及管理方案，综合评定。包括但不限于作业机械数量保障方案②作业机械安全保障方案③作业机械质量保障方案等，以上内容完整、不存在不合理(瑕疵)或缺项的，得9分；每缺一项扣3分，存在不合理或瑕疵的，一项扣0.5-2.5分，扣完为止。(本项所指“不合理或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质量管理与措施</w:t>
            </w:r>
          </w:p>
        </w:tc>
        <w:tc>
          <w:tcPr>
            <w:tcW w:type="dxa" w:w="3115"/>
          </w:tcPr>
          <w:p>
            <w:pPr>
              <w:pStyle w:val="null5"/>
              <w:jc w:val="left"/>
            </w:pPr>
            <w:r>
              <w:rPr>
                <w:rFonts w:ascii="仿宋_GB2312" w:hAnsi="仿宋_GB2312" w:cs="仿宋_GB2312" w:eastAsia="仿宋_GB2312"/>
              </w:rPr>
              <w:t>根据项目情况，视供应商提供的质量管理与措施，综合评定。包括但不限于①服务质量保障体系②质量保障措施③作业过程质量控制方案等，包括以上内容但不限于以上内容，以上内容完整、不存在不合理(瑕疵)或缺项的，得9分；每缺一项扣3分，存在不合理或瑕的，一项扣0.5-2.5分扣完为止。(本项所指“不合理或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安全管理与措施</w:t>
            </w:r>
          </w:p>
        </w:tc>
        <w:tc>
          <w:tcPr>
            <w:tcW w:type="dxa" w:w="3115"/>
          </w:tcPr>
          <w:p>
            <w:pPr>
              <w:pStyle w:val="null5"/>
              <w:jc w:val="left"/>
            </w:pPr>
            <w:r>
              <w:rPr>
                <w:rFonts w:ascii="仿宋_GB2312" w:hAnsi="仿宋_GB2312" w:cs="仿宋_GB2312" w:eastAsia="仿宋_GB2312"/>
              </w:rPr>
              <w:t>根据项目情况，视供应商提供的安全管理体系与措施，综合评定。包括但不限于①安全管理体系②安全管理措施③安全管理岗位职责④突发事件的安全预案及防护措施，包括以上内容但不限于以上内容，以上内容完整、不存在不合理(瑕疵)或缺项的，得12分；每缺一项扣3分，存在不合理或瑕疵的，一项扣0.5-2.5分，扣完为止。(本项所指“不合理或瑕"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进度计划与措施</w:t>
            </w:r>
          </w:p>
        </w:tc>
        <w:tc>
          <w:tcPr>
            <w:tcW w:type="dxa" w:w="3115"/>
          </w:tcPr>
          <w:p>
            <w:pPr>
              <w:pStyle w:val="null5"/>
              <w:jc w:val="left"/>
            </w:pPr>
            <w:r>
              <w:rPr>
                <w:rFonts w:ascii="仿宋_GB2312" w:hAnsi="仿宋_GB2312" w:cs="仿宋_GB2312" w:eastAsia="仿宋_GB2312"/>
              </w:rPr>
              <w:t>根据项目情况，视供应商提供的进度计划与措施，综合评定。包括但不限于①进度计划②进度保障措施，包括以上内容但不限于以上内容，以上内容完整、不存不合理(瑕疵)或缺项的，得6分；每缺一项扣3分，存在不合理或瑕疵的，一项扣0.5-2.5分，扣完为止。(本项所指“不合理或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环境管理与措施</w:t>
            </w:r>
          </w:p>
        </w:tc>
        <w:tc>
          <w:tcPr>
            <w:tcW w:type="dxa" w:w="3115"/>
          </w:tcPr>
          <w:p>
            <w:pPr>
              <w:pStyle w:val="null5"/>
              <w:jc w:val="left"/>
            </w:pPr>
            <w:r>
              <w:rPr>
                <w:rFonts w:ascii="仿宋_GB2312" w:hAnsi="仿宋_GB2312" w:cs="仿宋_GB2312" w:eastAsia="仿宋_GB2312"/>
              </w:rPr>
              <w:t>根据项目情况，视供应商提供的环境管理体系与措施，综合评定。包括但不限于①环境保护管理体系②污染物处理及排放符合国家及地方环境保护标准③技术及管理措施，包括以上内容但不限于以上内容，以上内容完整不存在不合理(瑕疵)或缺项的，得9分；每缺一项扣3分，存在不合理或瑕疵的一项扣0.5-2.5分，扣完为止。(本项所指“不合理或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根据投标人对本项目的理解所提供的应急方案评分:包括不限于作业过程可能发生的突发事件、应急人员保障、设备保障及相关应对措施等内容:应急措施合理，能满足项目需求的得5分；应急措施比较合理，能基本满足项目要求得3分；应急措施一般或不能满足实际需求的得1分。未提供本项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投标人2022年1月至投标截止日完成过类似本项目的业绩，每提供一项的3分，最高得9分。 注：1、类似业绩是指服务内容中包含土方清运或垃圾清运或土石方工程或场地平整或其他类似本项目的业绩。 2、需提供合同关键页（项目名称页、合同金额页、服务（工程）内容页、签字盖章页）。如提供的合同关键页无法佐证服务（工程）内容，可提供如工程量清单或工程预算等其他可以佐证材料。(未提供或提的证明材料无法有效满足类似业绩要求的不计算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主要管理人员</w:t>
            </w:r>
          </w:p>
        </w:tc>
        <w:tc>
          <w:tcPr>
            <w:tcW w:type="dxa" w:w="3115"/>
          </w:tcPr>
          <w:p>
            <w:pPr>
              <w:pStyle w:val="null5"/>
              <w:jc w:val="left"/>
            </w:pPr>
            <w:r>
              <w:rPr>
                <w:rFonts w:ascii="仿宋_GB2312" w:hAnsi="仿宋_GB2312" w:cs="仿宋_GB2312" w:eastAsia="仿宋_GB2312"/>
              </w:rPr>
              <w:t>拟派本项目主要管理人员（含项目负责人），每有一人具有建筑相关中级及以上职称证书的得3分，最高得6分。需提供职称证书扫描件或复印件（未提供不计算得分）。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服务方案及技术措施</w:t>
            </w:r>
          </w:p>
        </w:tc>
        <w:tc>
          <w:tcPr>
            <w:tcW w:type="dxa" w:w="3115"/>
          </w:tcPr>
          <w:p>
            <w:pPr>
              <w:pStyle w:val="null5"/>
              <w:jc w:val="left"/>
            </w:pPr>
            <w:r>
              <w:rPr>
                <w:rFonts w:ascii="仿宋_GB2312" w:hAnsi="仿宋_GB2312" w:cs="仿宋_GB2312" w:eastAsia="仿宋_GB2312"/>
              </w:rPr>
              <w:t>根据项目情况，视供应商提供的服务方案及技术措施，综合评定。包括但不限于①准备方案②土方装车方案③土方运输方案④主要技术措施等，以上内容完整、不存在不合理(瑕疵)或缺项的，得12分；每缺一项扣3分，存在不合理或瑕疵的，一项扣0.5-2.5分，扣完为止。(本项所指“不合理或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作业人员的配备及管理方案</w:t>
            </w:r>
          </w:p>
        </w:tc>
        <w:tc>
          <w:tcPr>
            <w:tcW w:type="dxa" w:w="3115"/>
          </w:tcPr>
          <w:p>
            <w:pPr>
              <w:pStyle w:val="null5"/>
              <w:jc w:val="left"/>
            </w:pPr>
            <w:r>
              <w:rPr>
                <w:rFonts w:ascii="仿宋_GB2312" w:hAnsi="仿宋_GB2312" w:cs="仿宋_GB2312" w:eastAsia="仿宋_GB2312"/>
              </w:rPr>
              <w:t>根据项目情况，视供应商提供的作业人员配备及管理方案，综合评定。包括但不限于①人员配备②作业人数保障方案③作业期间的人员管理方案④人员的考核方案等，以上内容完整、不存在不合理(瑕疵)或缺项的，得8分；每缺一项扣2分，存在不合理或瑕疵的，一项扣0.5-1.5分，扣完为止。(本项所指“不合理或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主要作业机械配备及管理方案</w:t>
            </w:r>
          </w:p>
        </w:tc>
        <w:tc>
          <w:tcPr>
            <w:tcW w:type="dxa" w:w="3115"/>
          </w:tcPr>
          <w:p>
            <w:pPr>
              <w:pStyle w:val="null5"/>
              <w:jc w:val="left"/>
            </w:pPr>
            <w:r>
              <w:rPr>
                <w:rFonts w:ascii="仿宋_GB2312" w:hAnsi="仿宋_GB2312" w:cs="仿宋_GB2312" w:eastAsia="仿宋_GB2312"/>
              </w:rPr>
              <w:t>1、据项目情况，视供应商提供的土方运输车数量，综合评定。供应商承诺配备的土方运输车数量≥10台的得5分；承诺配备土方运输车数量&lt;10台，28台的得3分；承诺配备土方运输车&lt;8台，25台的得1分；&lt;5台的不得分。(提供承诺书，未提供不计算得分)。2、据项目情况，视供应商提供的作业机械配备及管理方案，综合评定。包括但不限于作业机械数量保障方案②作业机械安全保障方案③作业机械质量保障方案等，以上内容完整、不存在不合理(瑕疵)或缺项的，得9分；每缺一项扣3分，存在不合理或瑕疵的，一项扣0.5-2.5分，扣完为止。(本项所指“不合理或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质量管理与措施</w:t>
            </w:r>
          </w:p>
        </w:tc>
        <w:tc>
          <w:tcPr>
            <w:tcW w:type="dxa" w:w="3115"/>
          </w:tcPr>
          <w:p>
            <w:pPr>
              <w:pStyle w:val="null5"/>
              <w:jc w:val="left"/>
            </w:pPr>
            <w:r>
              <w:rPr>
                <w:rFonts w:ascii="仿宋_GB2312" w:hAnsi="仿宋_GB2312" w:cs="仿宋_GB2312" w:eastAsia="仿宋_GB2312"/>
              </w:rPr>
              <w:t>根据项目情况，视供应商提供的质量管理与措施，综合评定。包括但不限于①服务质量保障体系②质量保障措施③作业过程质量控制方案等，包括以上内容但不限于以上内容，以上内容完整、不存在不合理(瑕疵)或缺项的，得9分；每缺一项扣3分，存在不合理或瑕的，一项扣0.5-2.5分扣完为止。(本项所指“不合理或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安全管理与措施</w:t>
            </w:r>
          </w:p>
        </w:tc>
        <w:tc>
          <w:tcPr>
            <w:tcW w:type="dxa" w:w="3115"/>
          </w:tcPr>
          <w:p>
            <w:pPr>
              <w:pStyle w:val="null5"/>
              <w:jc w:val="left"/>
            </w:pPr>
            <w:r>
              <w:rPr>
                <w:rFonts w:ascii="仿宋_GB2312" w:hAnsi="仿宋_GB2312" w:cs="仿宋_GB2312" w:eastAsia="仿宋_GB2312"/>
              </w:rPr>
              <w:t>根据项目情况，视供应商提供的安全管理体系与措施，综合评定。包括但不限于①安全管理体系②安全管理措施③安全管理岗位职责④突发事件的安全预案及防护措施，包括以上内容但不限于以上内容，以上内容完整、不存在不合理(瑕疵)或缺项的，得12分；每缺一项扣3分，存在不合理或瑕疵的，一项扣0.5-2.5分，扣完为止。(本项所指“不合理或瑕"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进度计划与措施</w:t>
            </w:r>
          </w:p>
        </w:tc>
        <w:tc>
          <w:tcPr>
            <w:tcW w:type="dxa" w:w="3115"/>
          </w:tcPr>
          <w:p>
            <w:pPr>
              <w:pStyle w:val="null5"/>
              <w:jc w:val="left"/>
            </w:pPr>
            <w:r>
              <w:rPr>
                <w:rFonts w:ascii="仿宋_GB2312" w:hAnsi="仿宋_GB2312" w:cs="仿宋_GB2312" w:eastAsia="仿宋_GB2312"/>
              </w:rPr>
              <w:t>根据项目情况，视供应商提供的进度计划与措施，综合评定。包括但不限于①进度计划②进度保障措施，包括以上内容但不限于以上内容，以上内容完整、不存不合理(瑕疵)或缺项的，得6分；每缺一项扣3分，存在不合理或瑕疵的，一项扣0.5-2.5分，扣完为止。(本项所指“不合理或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环境管理与措施</w:t>
            </w:r>
          </w:p>
        </w:tc>
        <w:tc>
          <w:tcPr>
            <w:tcW w:type="dxa" w:w="3115"/>
          </w:tcPr>
          <w:p>
            <w:pPr>
              <w:pStyle w:val="null5"/>
              <w:jc w:val="left"/>
            </w:pPr>
            <w:r>
              <w:rPr>
                <w:rFonts w:ascii="仿宋_GB2312" w:hAnsi="仿宋_GB2312" w:cs="仿宋_GB2312" w:eastAsia="仿宋_GB2312"/>
              </w:rPr>
              <w:t>根据项目情况，视供应商提供的环境管理体系与措施，综合评定。包括但不限于①环境保护管理体系②污染物处理及排放符合国家及地方环境保护标准③技术及管理措施，包括以上内容但不限于以上内容，以上内容完整不存在不合理(瑕疵)或缺项的，得9分；每缺一项扣3分，存在不合理或瑕疵的一项扣0.5-2.5分，扣完为止。(本项所指“不合理或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根据投标人对本项目的理解所提供的应急方案评分:包括不限于作业过程可能发生的突发事件、应急人员保障、设备保障及相关应对措施等内容:应急措施合理，能满足项目需求的得5分；应急措施比较合理，能基本满足项目要求得3分；应急措施一般或不能满足实际需求的得1分。未提供本项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投标人2022年1月至投标截止日完成过类似本项目的业绩，每提供一项的3分，最高得9分。 注：1、类似业绩是指服务内容中包含土方清运或垃圾清运或土石方工程或场地平整或其他类似本项目的业绩。 2、需提供合同关键页（项目名称页、合同金额页、服务（工程）内容页、签字盖章页）。如提供的合同关键页无法佐证服务（工程）内容，可提供如工程量清单或工程预算等其他可以佐证材料。(未提供或提的证明材料无法有效满足类似业绩要求的不计算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主要管理人员</w:t>
            </w:r>
          </w:p>
        </w:tc>
        <w:tc>
          <w:tcPr>
            <w:tcW w:type="dxa" w:w="3115"/>
          </w:tcPr>
          <w:p>
            <w:pPr>
              <w:pStyle w:val="null5"/>
              <w:jc w:val="left"/>
            </w:pPr>
            <w:r>
              <w:rPr>
                <w:rFonts w:ascii="仿宋_GB2312" w:hAnsi="仿宋_GB2312" w:cs="仿宋_GB2312" w:eastAsia="仿宋_GB2312"/>
              </w:rPr>
              <w:t>拟派本项目主要管理人员（含项目负责人），每有一人具有建筑相关中级及以上职称证书的得3分，最高得6分。需提供职称证书扫描件或复印件（未提供不计算得分）。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